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kern w:val="0"/>
          <w:sz w:val="28"/>
          <w:szCs w:val="28"/>
        </w:rPr>
      </w:pPr>
      <w:r>
        <w:rPr>
          <w:rFonts w:hint="eastAsia" w:ascii="宋体" w:hAnsi="宋体" w:eastAsia="宋体"/>
          <w:kern w:val="0"/>
          <w:sz w:val="28"/>
          <w:szCs w:val="28"/>
        </w:rPr>
        <w:t>附件</w:t>
      </w:r>
    </w:p>
    <w:p>
      <w:pPr>
        <w:widowControl/>
        <w:jc w:val="center"/>
        <w:rPr>
          <w:rFonts w:hint="eastAsia" w:ascii="宋体" w:hAnsi="宋体" w:eastAsia="宋体"/>
          <w:kern w:val="0"/>
          <w:sz w:val="28"/>
          <w:szCs w:val="28"/>
        </w:rPr>
      </w:pPr>
      <w:bookmarkStart w:id="0" w:name="_GoBack"/>
      <w:r>
        <w:rPr>
          <w:rFonts w:hint="eastAsia" w:ascii="宋体" w:hAnsi="宋体" w:eastAsia="宋体"/>
          <w:kern w:val="0"/>
          <w:sz w:val="28"/>
          <w:szCs w:val="28"/>
        </w:rPr>
        <w:t>山东省食品销售环节检查要点表</w:t>
      </w:r>
    </w:p>
    <w:bookmarkEnd w:id="0"/>
    <w:p>
      <w:pPr>
        <w:widowControl/>
        <w:jc w:val="left"/>
        <w:rPr>
          <w:rFonts w:hint="eastAsia" w:ascii="宋体" w:hAnsi="宋体" w:eastAsia="宋体"/>
          <w:kern w:val="0"/>
          <w:sz w:val="28"/>
          <w:szCs w:val="28"/>
        </w:rPr>
      </w:pPr>
      <w:r>
        <w:rPr>
          <w:rFonts w:hint="eastAsia" w:ascii="宋体" w:hAnsi="宋体" w:eastAsia="宋体"/>
          <w:kern w:val="0"/>
          <w:sz w:val="28"/>
          <w:szCs w:val="28"/>
        </w:rPr>
        <w:t xml:space="preserve"> 被检查单位名称：</w:t>
      </w:r>
    </w:p>
    <w:tbl>
      <w:tblPr>
        <w:tblStyle w:val="6"/>
        <w:tblW w:w="8931" w:type="dxa"/>
        <w:tblInd w:w="0" w:type="dxa"/>
        <w:tblLayout w:type="fixed"/>
        <w:tblCellMar>
          <w:top w:w="0" w:type="dxa"/>
          <w:left w:w="108" w:type="dxa"/>
          <w:bottom w:w="0" w:type="dxa"/>
          <w:right w:w="108" w:type="dxa"/>
        </w:tblCellMar>
      </w:tblPr>
      <w:tblGrid>
        <w:gridCol w:w="1560"/>
        <w:gridCol w:w="708"/>
        <w:gridCol w:w="5245"/>
        <w:gridCol w:w="709"/>
        <w:gridCol w:w="709"/>
      </w:tblGrid>
      <w:tr>
        <w:tblPrEx>
          <w:tblLayout w:type="fixed"/>
          <w:tblCellMar>
            <w:top w:w="0" w:type="dxa"/>
            <w:left w:w="108" w:type="dxa"/>
            <w:bottom w:w="0" w:type="dxa"/>
            <w:right w:w="108" w:type="dxa"/>
          </w:tblCellMar>
        </w:tblPrEx>
        <w:trPr>
          <w:trHeight w:val="24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检查项目</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序号</w:t>
            </w:r>
          </w:p>
        </w:tc>
        <w:tc>
          <w:tcPr>
            <w:tcW w:w="5245"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检查内容</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分值</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得分</w:t>
            </w:r>
          </w:p>
        </w:tc>
      </w:tr>
      <w:tr>
        <w:tblPrEx>
          <w:tblLayout w:type="fixed"/>
          <w:tblCellMar>
            <w:top w:w="0" w:type="dxa"/>
            <w:left w:w="108" w:type="dxa"/>
            <w:bottom w:w="0" w:type="dxa"/>
            <w:right w:w="108" w:type="dxa"/>
          </w:tblCellMar>
        </w:tblPrEx>
        <w:trPr>
          <w:trHeight w:val="248" w:hRule="atLeast"/>
        </w:trPr>
        <w:tc>
          <w:tcPr>
            <w:tcW w:w="893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食品通用检查项目(34项)</w:t>
            </w: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1.</w:t>
            </w:r>
            <w:r>
              <w:rPr>
                <w:rFonts w:ascii="仿宋_GB2312" w:eastAsia="仿宋_GB2312"/>
                <w:kern w:val="0"/>
                <w:szCs w:val="21"/>
              </w:rPr>
              <w:t>经营资质</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经营者持有的食品经营许可证是否合法有效。</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食品经营许可证载明的有关内容与实际经营是否相符。</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2.</w:t>
            </w:r>
            <w:r>
              <w:rPr>
                <w:rFonts w:ascii="仿宋_GB2312" w:eastAsia="仿宋_GB2312"/>
                <w:kern w:val="0"/>
                <w:szCs w:val="21"/>
              </w:rPr>
              <w:t>经营条件</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是否具有与经营的食品品种、数量相适应的场所。</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经营场所环境是否整洁，是否与污染源保持规定的距离。</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是否具有与经营的食品品种、数量相适应的生产经营设备或者设施。</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3.</w:t>
            </w:r>
            <w:r>
              <w:rPr>
                <w:rFonts w:ascii="仿宋_GB2312" w:eastAsia="仿宋_GB2312"/>
                <w:kern w:val="0"/>
                <w:szCs w:val="21"/>
              </w:rPr>
              <w:t>食品标签等外观质量状况</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3.1</w:t>
            </w:r>
          </w:p>
        </w:tc>
        <w:tc>
          <w:tcPr>
            <w:tcW w:w="5245"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检查的食品是否在保质期内。</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检查的食品感官性状是否正常。</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3.3</w:t>
            </w:r>
          </w:p>
        </w:tc>
        <w:tc>
          <w:tcPr>
            <w:tcW w:w="5245"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r>
              <w:rPr>
                <w:rFonts w:hint="eastAsia" w:ascii="仿宋" w:hAnsi="仿宋" w:eastAsia="仿宋"/>
                <w:kern w:val="0"/>
                <w:szCs w:val="21"/>
              </w:rPr>
              <w:t>经营的肉及肉制品是否具有检验检疫证明。</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3.4</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检查的食品是否符合国家为防病等特殊需要的要求。</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3.5</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经营的预包装食品、食品添加剂的包装上是否有标签，标签标明的内容是否符合食品安全法等法律法规的规定。</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3.6</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经营的食品的标签、说明书是否清楚、明显，生产日期、保质期等事项是否显著标注，容易辨识。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3.7</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销售散装食品，是否在散装食品的容器、外包装上标明食品的名称、生产日期或者生产批号、保质期以及生产经营者名称、地址、联系方式等内容。</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3.8</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经营食品标签、说明书不得涉及疾病预防、治疗功能。</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3.</w:t>
            </w:r>
            <w:r>
              <w:rPr>
                <w:rFonts w:hint="eastAsia" w:ascii="仿宋_GB2312" w:eastAsia="仿宋_GB2312"/>
                <w:kern w:val="0"/>
                <w:szCs w:val="21"/>
              </w:rPr>
              <w:t>9</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经营的进口预包装食品是否有中文标签,并载明食品的原产地以及境内代理商的名称、地址、联系方式。</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ascii="宋体" w:hAnsi="宋体"/>
                <w:kern w:val="0"/>
                <w:szCs w:val="21"/>
              </w:rPr>
              <w:t>3.10</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经营的进口预包装食品是否有国家出入境检验检疫部门出具的入境货物检验检疫证明。</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4.</w:t>
            </w:r>
            <w:r>
              <w:rPr>
                <w:rFonts w:ascii="仿宋_GB2312" w:eastAsia="仿宋_GB2312"/>
                <w:kern w:val="0"/>
                <w:szCs w:val="21"/>
              </w:rPr>
              <w:t>食品安全管理机构和人员</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4.1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食品经营企业是否有专职或者兼职的食品安全专业技术人员、食品安全管理人员。</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4.</w:t>
            </w:r>
            <w:r>
              <w:rPr>
                <w:rFonts w:hint="eastAsia" w:ascii="仿宋_GB2312" w:eastAsia="仿宋_GB2312"/>
                <w:kern w:val="0"/>
                <w:szCs w:val="21"/>
              </w:rPr>
              <w:t>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食品经营企业不得存在经食品药品监管部门抽查考核不合格的食品安全管理人员在岗从事食品安全管理工作的情况。</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ascii="仿宋_GB2312" w:eastAsia="仿宋_GB2312"/>
                <w:kern w:val="0"/>
                <w:szCs w:val="21"/>
              </w:rPr>
              <w:t>4.3</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食品经营者是否建立从业人员健康管理、食品安全自查、食品召回等食品安全管理制度。食品经营企业是否建立并严格执行进货查验记录制度。</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5.</w:t>
            </w:r>
            <w:r>
              <w:rPr>
                <w:rFonts w:ascii="仿宋_GB2312" w:eastAsia="仿宋_GB2312"/>
                <w:kern w:val="0"/>
                <w:szCs w:val="21"/>
              </w:rPr>
              <w:t>从业人员管理</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5.1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在岗从事接触直接入口食品工作的食品经营人员是否取得健康证明。</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5.2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在岗从事接触直接入口食品工作的食品经营人员不得存在患有国务院卫生行政部门规定的有碍食品安全疾病的情况。</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5.3</w:t>
            </w: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Cs w:val="21"/>
              </w:rPr>
            </w:pPr>
            <w:r>
              <w:rPr>
                <w:rFonts w:hint="eastAsia" w:ascii="仿宋" w:hAnsi="仿宋" w:eastAsia="仿宋"/>
                <w:kern w:val="0"/>
                <w:szCs w:val="21"/>
              </w:rPr>
              <w:t>在岗从事直接接触入口食品工作的从业人员是否穿戴清洁的工作衣帽，双手清洁，保持个人卫生。</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5.4</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食品经营企业是否对职工进行食品安全知识培训和考核。</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6.</w:t>
            </w:r>
            <w:r>
              <w:rPr>
                <w:rFonts w:ascii="仿宋_GB2312" w:eastAsia="仿宋_GB2312"/>
                <w:kern w:val="0"/>
                <w:szCs w:val="21"/>
              </w:rPr>
              <w:t>经营过程控制情</w:t>
            </w:r>
            <w:r>
              <w:rPr>
                <w:kern w:val="0"/>
                <w:szCs w:val="21"/>
              </w:rPr>
              <w:t>况</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w:t>
            </w:r>
            <w:r>
              <w:rPr>
                <w:rFonts w:hint="eastAsia" w:ascii="宋体" w:hAnsi="宋体"/>
                <w:kern w:val="0"/>
                <w:szCs w:val="21"/>
              </w:rPr>
              <w:t>.1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食品经营者采购食品（食品添加剂），是否查验供货者的许可证和食品出厂检验合格证或者其他合格证明(以下称合格证明文件)。</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是否建立食用农产品进货查验记录制度，如实记录食用农产品的名称、数量、进货日期以及供货者名称、地址、联系方式等内容，并保存相关凭证。记录和凭证保存期限不得少于六个月。</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w:t>
            </w:r>
            <w:r>
              <w:rPr>
                <w:rFonts w:hint="eastAsia" w:ascii="宋体" w:hAnsi="宋体"/>
                <w:kern w:val="0"/>
                <w:szCs w:val="21"/>
              </w:rPr>
              <w:t>.3</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是否按要求贮存食品。</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6.4</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是否定期检查库存食品，及时清理变质或者超过保质期的食品。</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6.5</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食品经营者是否按照食品标签标示的警示标志、警示说明或者注意事项的要求贮存和销售食品。对经营过程有温度、湿度要求的食品的，是否有保证食品安全所需的温度、湿度等特殊要求的设备，并按要求贮存。</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ascii="仿宋_GB2312" w:eastAsia="仿宋_GB2312"/>
                <w:kern w:val="0"/>
                <w:szCs w:val="21"/>
              </w:rPr>
              <w:t>6.6</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从事食品批发业务的经营企业是否建立并严格执行食品销售记录制度。</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ascii="仿宋_GB2312" w:eastAsia="仿宋_GB2312"/>
                <w:kern w:val="0"/>
                <w:szCs w:val="21"/>
              </w:rPr>
              <w:t>6.7</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食品经营者是否定期对食品安全状况进行检查评价, 生产经营条件发生变化，按规定处理。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20" w:lineRule="atLeast"/>
              <w:jc w:val="center"/>
              <w:rPr>
                <w:rFonts w:ascii="宋体" w:hAnsi="宋体"/>
                <w:kern w:val="0"/>
                <w:szCs w:val="21"/>
              </w:rPr>
            </w:pPr>
            <w:r>
              <w:rPr>
                <w:rFonts w:hint="eastAsia" w:ascii="宋体" w:hAnsi="宋体"/>
                <w:kern w:val="0"/>
                <w:szCs w:val="21"/>
              </w:rPr>
              <w:t>6.8</w:t>
            </w:r>
          </w:p>
        </w:tc>
        <w:tc>
          <w:tcPr>
            <w:tcW w:w="5245"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食品召回和处理是否符合相关规定。</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20" w:lineRule="atLeast"/>
              <w:jc w:val="center"/>
              <w:rPr>
                <w:rFonts w:ascii="宋体" w:hAnsi="宋体"/>
                <w:kern w:val="0"/>
                <w:szCs w:val="21"/>
              </w:rPr>
            </w:pPr>
            <w:r>
              <w:rPr>
                <w:rFonts w:hint="eastAsia" w:ascii="宋体" w:hAnsi="宋体"/>
                <w:kern w:val="0"/>
                <w:szCs w:val="21"/>
              </w:rPr>
              <w:t>6.9</w:t>
            </w: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Cs w:val="21"/>
              </w:rPr>
            </w:pPr>
            <w:r>
              <w:rPr>
                <w:rFonts w:hint="eastAsia" w:ascii="仿宋" w:hAnsi="仿宋" w:eastAsia="仿宋"/>
                <w:kern w:val="0"/>
                <w:szCs w:val="21"/>
              </w:rPr>
              <w:t>是否按照国家标准和规定使用、公示食品添加剂。</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pacing w:line="420" w:lineRule="atLeast"/>
              <w:jc w:val="center"/>
              <w:rPr>
                <w:rFonts w:ascii="宋体" w:hAnsi="宋体"/>
                <w:kern w:val="0"/>
                <w:szCs w:val="21"/>
              </w:rPr>
            </w:pPr>
            <w:r>
              <w:rPr>
                <w:rFonts w:hint="eastAsia" w:ascii="宋体" w:hAnsi="宋体"/>
                <w:kern w:val="0"/>
                <w:szCs w:val="21"/>
              </w:rPr>
              <w:t>6.10</w:t>
            </w: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Cs w:val="21"/>
              </w:rPr>
            </w:pPr>
            <w:r>
              <w:rPr>
                <w:rFonts w:hint="eastAsia" w:ascii="仿宋" w:hAnsi="仿宋" w:eastAsia="仿宋"/>
                <w:kern w:val="0"/>
                <w:szCs w:val="21"/>
              </w:rPr>
              <w:t>加工生、熟食品的用具、容器是否有明显的区分标识，分开使用，避免交叉污染。</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6.1</w:t>
            </w:r>
            <w:r>
              <w:rPr>
                <w:rFonts w:hint="eastAsia" w:ascii="仿宋_GB2312" w:eastAsia="仿宋_GB2312"/>
                <w:kern w:val="0"/>
                <w:szCs w:val="21"/>
              </w:rPr>
              <w:t>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发生食品安全事故的，是否建立和保存处置食品安全事故记录，是否按规定上报所在地食品药品监督部门。</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6.1</w:t>
            </w:r>
            <w:r>
              <w:rPr>
                <w:rFonts w:hint="eastAsia" w:ascii="仿宋_GB2312" w:eastAsia="仿宋_GB2312"/>
                <w:kern w:val="0"/>
                <w:szCs w:val="21"/>
              </w:rPr>
              <w:t>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食品经营者是否张贴并保持上次监督检查结果记录。</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893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特殊场所和特殊食品检查项目(11项)</w:t>
            </w:r>
          </w:p>
        </w:tc>
      </w:tr>
      <w:tr>
        <w:tblPrEx>
          <w:tblLayout w:type="fixed"/>
          <w:tblCellMar>
            <w:top w:w="0" w:type="dxa"/>
            <w:left w:w="108" w:type="dxa"/>
            <w:bottom w:w="0" w:type="dxa"/>
            <w:right w:w="108" w:type="dxa"/>
          </w:tblCellMar>
        </w:tblPrEx>
        <w:trPr>
          <w:trHeight w:val="24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rPr>
                <w:rFonts w:ascii="黑体" w:eastAsia="黑体"/>
                <w:kern w:val="0"/>
                <w:szCs w:val="21"/>
              </w:rPr>
            </w:pPr>
            <w:r>
              <w:rPr>
                <w:rFonts w:hint="eastAsia" w:ascii="黑体" w:eastAsia="黑体"/>
                <w:kern w:val="0"/>
                <w:szCs w:val="21"/>
              </w:rPr>
              <w:t>检查项目</w:t>
            </w:r>
          </w:p>
        </w:tc>
        <w:tc>
          <w:tcPr>
            <w:tcW w:w="708" w:type="dxa"/>
            <w:tcBorders>
              <w:top w:val="single" w:color="000000" w:sz="4" w:space="0"/>
              <w:left w:val="nil"/>
              <w:bottom w:val="single" w:color="000000" w:sz="4" w:space="0"/>
              <w:right w:val="single" w:color="000000" w:sz="4" w:space="0"/>
            </w:tcBorders>
            <w:vAlign w:val="center"/>
          </w:tcPr>
          <w:p>
            <w:pPr>
              <w:widowControl/>
              <w:rPr>
                <w:rFonts w:ascii="黑体" w:eastAsia="黑体"/>
                <w:kern w:val="0"/>
                <w:szCs w:val="21"/>
              </w:rPr>
            </w:pPr>
            <w:r>
              <w:rPr>
                <w:rFonts w:hint="eastAsia" w:ascii="黑体" w:eastAsia="黑体"/>
                <w:kern w:val="0"/>
                <w:szCs w:val="21"/>
              </w:rPr>
              <w:t>序号</w:t>
            </w:r>
          </w:p>
        </w:tc>
        <w:tc>
          <w:tcPr>
            <w:tcW w:w="5245" w:type="dxa"/>
            <w:tcBorders>
              <w:top w:val="single" w:color="000000" w:sz="4" w:space="0"/>
              <w:left w:val="nil"/>
              <w:bottom w:val="single" w:color="000000" w:sz="4" w:space="0"/>
              <w:right w:val="single" w:color="000000" w:sz="4" w:space="0"/>
            </w:tcBorders>
            <w:vAlign w:val="center"/>
          </w:tcPr>
          <w:p>
            <w:pPr>
              <w:widowControl/>
              <w:rPr>
                <w:rFonts w:ascii="黑体" w:eastAsia="黑体"/>
                <w:kern w:val="0"/>
                <w:szCs w:val="21"/>
              </w:rPr>
            </w:pPr>
            <w:r>
              <w:rPr>
                <w:rFonts w:hint="eastAsia" w:ascii="黑体" w:eastAsia="黑体"/>
                <w:kern w:val="0"/>
                <w:szCs w:val="21"/>
              </w:rPr>
              <w:t>检查内容</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kern w:val="0"/>
                <w:szCs w:val="21"/>
              </w:rPr>
            </w:pPr>
            <w:r>
              <w:rPr>
                <w:rFonts w:hint="eastAsia" w:ascii="黑体" w:eastAsia="黑体"/>
                <w:kern w:val="0"/>
                <w:szCs w:val="21"/>
              </w:rPr>
              <w:t>分值</w:t>
            </w:r>
          </w:p>
        </w:tc>
        <w:tc>
          <w:tcPr>
            <w:tcW w:w="709" w:type="dxa"/>
            <w:tcBorders>
              <w:top w:val="single" w:color="000000" w:sz="4" w:space="0"/>
              <w:left w:val="nil"/>
              <w:bottom w:val="single" w:color="000000" w:sz="4" w:space="0"/>
              <w:right w:val="single" w:color="000000" w:sz="4" w:space="0"/>
            </w:tcBorders>
            <w:vAlign w:val="center"/>
          </w:tcPr>
          <w:p>
            <w:pPr>
              <w:widowControl/>
              <w:rPr>
                <w:rFonts w:ascii="黑体" w:eastAsia="黑体"/>
                <w:kern w:val="0"/>
                <w:szCs w:val="21"/>
              </w:rPr>
            </w:pPr>
            <w:r>
              <w:rPr>
                <w:rFonts w:hint="eastAsia" w:ascii="黑体" w:eastAsia="黑体"/>
                <w:kern w:val="0"/>
                <w:szCs w:val="21"/>
              </w:rPr>
              <w:t>得分</w:t>
            </w: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before="156" w:after="156"/>
              <w:jc w:val="center"/>
              <w:rPr>
                <w:kern w:val="0"/>
                <w:szCs w:val="21"/>
              </w:rPr>
            </w:pPr>
            <w:r>
              <w:rPr>
                <w:kern w:val="0"/>
                <w:szCs w:val="21"/>
              </w:rPr>
              <w:t>7.</w:t>
            </w:r>
            <w:r>
              <w:rPr>
                <w:rFonts w:ascii="仿宋_GB2312" w:eastAsia="仿宋_GB2312"/>
                <w:kern w:val="0"/>
                <w:szCs w:val="21"/>
              </w:rPr>
              <w:t>市场开办者、柜台出租者和展销会举办者</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7.1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 xml:space="preserve">集中交易市场的开办者、柜台出租者和展销会举办者，是否依法审查入场食品经营者的许可证，明确其食品安全管理责任。 </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kern w:val="0"/>
                <w:szCs w:val="21"/>
              </w:rPr>
              <w:t>7.2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是否定期对入场食品经营者经营环境和条件进行检查。</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before="156" w:after="156"/>
              <w:jc w:val="center"/>
              <w:rPr>
                <w:b/>
                <w:bCs/>
                <w:kern w:val="0"/>
                <w:szCs w:val="21"/>
              </w:rPr>
            </w:pPr>
            <w:r>
              <w:rPr>
                <w:kern w:val="0"/>
                <w:szCs w:val="21"/>
              </w:rPr>
              <w:t>8.</w:t>
            </w:r>
            <w:r>
              <w:rPr>
                <w:rFonts w:ascii="仿宋_GB2312" w:eastAsia="仿宋_GB2312"/>
                <w:kern w:val="0"/>
                <w:szCs w:val="21"/>
              </w:rPr>
              <w:t>网络食品交易第三方平台提供者</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8.1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网络食品交易第三方平台提供者是否对入网食品经营者进行许可审查或实行实名登记。</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1032"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b/>
                <w:bCs/>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kern w:val="0"/>
                <w:szCs w:val="21"/>
              </w:rPr>
              <w:t>8.2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网络食品交易第三方平台提供者是否明确入网经营者的食品安全管理责任。</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r>
              <w:rPr>
                <w:kern w:val="0"/>
                <w:szCs w:val="21"/>
              </w:rPr>
              <w:t>9.</w:t>
            </w:r>
            <w:r>
              <w:rPr>
                <w:rFonts w:ascii="仿宋_GB2312" w:eastAsia="仿宋_GB2312"/>
                <w:kern w:val="0"/>
                <w:szCs w:val="21"/>
              </w:rPr>
              <w:t>食品贮存和运输经营者</w:t>
            </w: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9.1</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贮存、运输和装卸食品的容器、工具和设备是否安全、无害，保持清洁。</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9.2</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容器、工具和设备是否符合保证食品安全所需的温度、湿度等特殊要求。</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kern w:val="0"/>
                <w:szCs w:val="21"/>
              </w:rPr>
              <w:t>9.3</w:t>
            </w:r>
          </w:p>
        </w:tc>
        <w:tc>
          <w:tcPr>
            <w:tcW w:w="5245"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r>
              <w:rPr>
                <w:rFonts w:hint="eastAsia" w:ascii="仿宋" w:hAnsi="仿宋" w:eastAsia="仿宋"/>
                <w:kern w:val="0"/>
                <w:szCs w:val="21"/>
              </w:rPr>
              <w:t>食品不得与有毒、有害物品一同贮存、运输。</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before="156" w:after="156"/>
              <w:jc w:val="center"/>
              <w:rPr>
                <w:b/>
                <w:bCs/>
                <w:kern w:val="0"/>
                <w:szCs w:val="21"/>
              </w:rPr>
            </w:pPr>
            <w:r>
              <w:rPr>
                <w:kern w:val="0"/>
                <w:szCs w:val="21"/>
              </w:rPr>
              <w:t>10.</w:t>
            </w:r>
            <w:r>
              <w:rPr>
                <w:rFonts w:ascii="仿宋_GB2312" w:eastAsia="仿宋_GB2312"/>
                <w:kern w:val="0"/>
                <w:szCs w:val="21"/>
              </w:rPr>
              <w:t>食用农产品批发市场</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kern w:val="0"/>
                <w:szCs w:val="21"/>
              </w:rPr>
            </w:pPr>
            <w:r>
              <w:rPr>
                <w:kern w:val="0"/>
                <w:szCs w:val="21"/>
              </w:rPr>
              <w:t>10.1</w:t>
            </w:r>
          </w:p>
        </w:tc>
        <w:tc>
          <w:tcPr>
            <w:tcW w:w="5245"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r>
              <w:rPr>
                <w:rFonts w:hint="eastAsia" w:ascii="仿宋" w:hAnsi="仿宋" w:eastAsia="仿宋"/>
                <w:kern w:val="0"/>
                <w:szCs w:val="21"/>
              </w:rPr>
              <w:t xml:space="preserve">食用农产品批发市场是否配备检验设备和检验人员或者委托符合本法规定的食品检验机构，对进入该批发市场销售的食用农产品进行抽样检验。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jc w:val="left"/>
              <w:rPr>
                <w:b/>
                <w:bCs/>
                <w:kern w:val="0"/>
                <w:szCs w:val="21"/>
              </w:rPr>
            </w:pP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kern w:val="0"/>
                <w:szCs w:val="21"/>
              </w:rPr>
            </w:pPr>
            <w:r>
              <w:rPr>
                <w:kern w:val="0"/>
                <w:szCs w:val="21"/>
              </w:rPr>
              <w:t>10.2</w:t>
            </w:r>
          </w:p>
        </w:tc>
        <w:tc>
          <w:tcPr>
            <w:tcW w:w="5245"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r>
              <w:rPr>
                <w:rFonts w:hint="eastAsia" w:ascii="仿宋" w:hAnsi="仿宋" w:eastAsia="仿宋"/>
                <w:kern w:val="0"/>
                <w:szCs w:val="21"/>
              </w:rPr>
              <w:t>发现不符合食品安全标准的食用农产品时，是否要求销售者立即停止销售，并向食品药品监督管理部门报告。</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248" w:hRule="atLeast"/>
        </w:trPr>
        <w:tc>
          <w:tcPr>
            <w:tcW w:w="1560" w:type="dxa"/>
            <w:vMerge w:val="restart"/>
            <w:tcBorders>
              <w:top w:val="single" w:color="000000" w:sz="4" w:space="0"/>
              <w:left w:val="single" w:color="000000" w:sz="4" w:space="0"/>
              <w:right w:val="single" w:color="000000" w:sz="4" w:space="0"/>
            </w:tcBorders>
            <w:vAlign w:val="center"/>
          </w:tcPr>
          <w:p>
            <w:pPr>
              <w:widowControl/>
              <w:rPr>
                <w:rFonts w:ascii="仿宋" w:hAnsi="仿宋" w:eastAsia="仿宋"/>
                <w:kern w:val="0"/>
                <w:szCs w:val="21"/>
              </w:rPr>
            </w:pPr>
            <w:r>
              <w:rPr>
                <w:kern w:val="0"/>
                <w:szCs w:val="21"/>
              </w:rPr>
              <w:t>11.</w:t>
            </w:r>
            <w:r>
              <w:rPr>
                <w:rFonts w:ascii="仿宋_GB2312" w:eastAsia="仿宋_GB2312"/>
                <w:kern w:val="0"/>
                <w:szCs w:val="21"/>
              </w:rPr>
              <w:t>特殊食品</w:t>
            </w:r>
          </w:p>
        </w:tc>
        <w:tc>
          <w:tcPr>
            <w:tcW w:w="708" w:type="dxa"/>
            <w:tcBorders>
              <w:top w:val="single" w:color="000000" w:sz="4" w:space="0"/>
              <w:left w:val="nil"/>
              <w:bottom w:val="single" w:color="000000" w:sz="4" w:space="0"/>
              <w:right w:val="single" w:color="000000" w:sz="4" w:space="0"/>
            </w:tcBorders>
            <w:vAlign w:val="center"/>
          </w:tcPr>
          <w:p>
            <w:pPr>
              <w:widowControl/>
              <w:snapToGrid w:val="0"/>
              <w:spacing w:line="420" w:lineRule="atLeast"/>
              <w:jc w:val="center"/>
              <w:rPr>
                <w:rFonts w:ascii="宋体" w:hAnsi="宋体"/>
                <w:kern w:val="0"/>
                <w:szCs w:val="21"/>
              </w:rPr>
            </w:pPr>
            <w:r>
              <w:rPr>
                <w:rFonts w:hint="eastAsia" w:ascii="宋体" w:hAnsi="宋体"/>
                <w:kern w:val="0"/>
                <w:szCs w:val="21"/>
              </w:rPr>
              <w:t>11.1</w:t>
            </w: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Cs w:val="21"/>
              </w:rPr>
            </w:pPr>
            <w:r>
              <w:rPr>
                <w:rFonts w:hint="eastAsia" w:ascii="仿宋" w:hAnsi="仿宋" w:eastAsia="仿宋"/>
                <w:kern w:val="0"/>
                <w:szCs w:val="21"/>
              </w:rPr>
              <w:t>不得经营未按规定注册或备案的婴幼儿配方乳粉。</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675" w:hRule="atLeast"/>
        </w:trPr>
        <w:tc>
          <w:tcPr>
            <w:tcW w:w="1560"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snapToGrid w:val="0"/>
              <w:spacing w:line="420" w:lineRule="atLeast"/>
              <w:jc w:val="center"/>
              <w:rPr>
                <w:rFonts w:ascii="宋体" w:hAnsi="宋体"/>
                <w:kern w:val="0"/>
                <w:szCs w:val="21"/>
              </w:rPr>
            </w:pPr>
            <w:r>
              <w:rPr>
                <w:rFonts w:hint="eastAsia" w:ascii="宋体" w:hAnsi="宋体"/>
                <w:kern w:val="0"/>
                <w:szCs w:val="21"/>
              </w:rPr>
              <w:t>11.2</w:t>
            </w: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Cs w:val="21"/>
              </w:rPr>
            </w:pPr>
            <w:r>
              <w:rPr>
                <w:rFonts w:hint="eastAsia" w:ascii="仿宋" w:hAnsi="仿宋" w:eastAsia="仿宋"/>
                <w:kern w:val="0"/>
                <w:szCs w:val="21"/>
              </w:rPr>
              <w:t>专供婴幼儿和其他特定人群的主辅食品，其标签是否标明主要营养成分及其含量。</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kern w:val="0"/>
                <w:szCs w:val="21"/>
              </w:rPr>
            </w:pPr>
          </w:p>
        </w:tc>
      </w:tr>
      <w:tr>
        <w:tblPrEx>
          <w:tblLayout w:type="fixed"/>
          <w:tblCellMar>
            <w:top w:w="0" w:type="dxa"/>
            <w:left w:w="108" w:type="dxa"/>
            <w:bottom w:w="0" w:type="dxa"/>
            <w:right w:w="108" w:type="dxa"/>
          </w:tblCellMar>
        </w:tblPrEx>
        <w:trPr>
          <w:trHeight w:val="16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165" w:lineRule="atLeast"/>
              <w:rPr>
                <w:rFonts w:ascii="仿宋" w:hAnsi="仿宋" w:eastAsia="仿宋"/>
                <w:kern w:val="0"/>
                <w:szCs w:val="21"/>
              </w:rPr>
            </w:pPr>
            <w:r>
              <w:rPr>
                <w:rFonts w:hint="eastAsia" w:ascii="仿宋" w:hAnsi="仿宋" w:eastAsia="仿宋"/>
                <w:kern w:val="0"/>
                <w:szCs w:val="21"/>
              </w:rPr>
              <w:t>总得分</w:t>
            </w:r>
          </w:p>
        </w:tc>
        <w:tc>
          <w:tcPr>
            <w:tcW w:w="708" w:type="dxa"/>
            <w:tcBorders>
              <w:top w:val="single" w:color="000000" w:sz="4" w:space="0"/>
              <w:left w:val="nil"/>
              <w:bottom w:val="single" w:color="000000" w:sz="4" w:space="0"/>
              <w:right w:val="single" w:color="000000" w:sz="4" w:space="0"/>
            </w:tcBorders>
            <w:vAlign w:val="center"/>
          </w:tcPr>
          <w:p>
            <w:pPr>
              <w:widowControl/>
              <w:snapToGrid w:val="0"/>
              <w:spacing w:line="420" w:lineRule="atLeast"/>
              <w:jc w:val="center"/>
              <w:rPr>
                <w:rFonts w:ascii="宋体" w:hAnsi="宋体"/>
                <w:kern w:val="0"/>
                <w:sz w:val="16"/>
                <w:szCs w:val="21"/>
              </w:rPr>
            </w:pPr>
          </w:p>
        </w:tc>
        <w:tc>
          <w:tcPr>
            <w:tcW w:w="5245" w:type="dxa"/>
            <w:tcBorders>
              <w:top w:val="single" w:color="000000" w:sz="4" w:space="0"/>
              <w:left w:val="nil"/>
              <w:bottom w:val="single" w:color="000000" w:sz="4" w:space="0"/>
              <w:right w:val="single" w:color="000000" w:sz="4" w:space="0"/>
            </w:tcBorders>
            <w:vAlign w:val="center"/>
          </w:tcPr>
          <w:p>
            <w:pPr>
              <w:widowControl/>
              <w:spacing w:line="420" w:lineRule="atLeast"/>
              <w:rPr>
                <w:rFonts w:ascii="仿宋" w:hAnsi="仿宋" w:eastAsia="仿宋"/>
                <w:kern w:val="0"/>
                <w:sz w:val="16"/>
                <w:szCs w:val="21"/>
              </w:rPr>
            </w:pP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kern w:val="0"/>
                <w:sz w:val="16"/>
                <w:szCs w:val="21"/>
              </w:rPr>
            </w:pPr>
          </w:p>
        </w:tc>
        <w:tc>
          <w:tcPr>
            <w:tcW w:w="709" w:type="dxa"/>
            <w:tcBorders>
              <w:top w:val="single" w:color="000000" w:sz="4" w:space="0"/>
              <w:left w:val="nil"/>
              <w:bottom w:val="single" w:color="000000" w:sz="4" w:space="0"/>
              <w:right w:val="single" w:color="000000" w:sz="4" w:space="0"/>
            </w:tcBorders>
            <w:vAlign w:val="center"/>
          </w:tcPr>
          <w:p>
            <w:pPr>
              <w:widowControl/>
              <w:spacing w:line="165" w:lineRule="atLeast"/>
              <w:rPr>
                <w:rFonts w:ascii="仿宋" w:hAnsi="仿宋" w:eastAsia="仿宋"/>
                <w:kern w:val="0"/>
                <w:szCs w:val="21"/>
              </w:rPr>
            </w:pPr>
          </w:p>
        </w:tc>
      </w:tr>
    </w:tbl>
    <w:p>
      <w:pPr>
        <w:widowControl/>
        <w:rPr>
          <w:rFonts w:hint="eastAsia" w:ascii="仿宋" w:hAnsi="仿宋" w:eastAsia="仿宋"/>
          <w:kern w:val="0"/>
          <w:sz w:val="28"/>
          <w:szCs w:val="28"/>
        </w:rPr>
      </w:pPr>
      <w:r>
        <w:rPr>
          <w:rFonts w:hint="eastAsia" w:ascii="仿宋" w:hAnsi="仿宋" w:eastAsia="仿宋"/>
          <w:kern w:val="0"/>
          <w:sz w:val="28"/>
          <w:szCs w:val="28"/>
        </w:rPr>
        <w:t>备注：1、评定内容满分为60分；   2、合理缺项分值列入得分。</w:t>
      </w:r>
    </w:p>
    <w:p>
      <w:pPr>
        <w:widowControl/>
        <w:rPr>
          <w:rFonts w:hint="eastAsia" w:ascii="仿宋" w:hAnsi="仿宋" w:eastAsia="仿宋"/>
          <w:kern w:val="0"/>
          <w:sz w:val="28"/>
          <w:szCs w:val="28"/>
        </w:rPr>
      </w:pPr>
      <w:r>
        <w:rPr>
          <w:rFonts w:hint="eastAsia" w:ascii="仿宋" w:hAnsi="仿宋" w:eastAsia="仿宋"/>
          <w:kern w:val="0"/>
          <w:sz w:val="28"/>
          <w:szCs w:val="28"/>
        </w:rPr>
        <w:t xml:space="preserve">      </w:t>
      </w:r>
    </w:p>
    <w:p>
      <w:pPr>
        <w:widowControl/>
        <w:rPr>
          <w:rFonts w:hint="eastAsia" w:ascii="仿宋" w:hAnsi="仿宋" w:eastAsia="仿宋"/>
          <w:kern w:val="0"/>
          <w:sz w:val="28"/>
          <w:szCs w:val="28"/>
        </w:rPr>
      </w:pPr>
      <w:r>
        <w:rPr>
          <w:rFonts w:hint="eastAsia" w:ascii="仿宋" w:hAnsi="仿宋" w:eastAsia="仿宋"/>
          <w:kern w:val="0"/>
          <w:sz w:val="28"/>
          <w:szCs w:val="28"/>
        </w:rPr>
        <w:t xml:space="preserve">检查组成员（签字）：                 </w:t>
      </w:r>
    </w:p>
    <w:p>
      <w:pPr>
        <w:widowControl/>
        <w:rPr>
          <w:rFonts w:hint="eastAsia" w:ascii="仿宋" w:hAnsi="仿宋" w:eastAsia="仿宋"/>
          <w:kern w:val="0"/>
          <w:sz w:val="28"/>
          <w:szCs w:val="28"/>
        </w:rPr>
      </w:pPr>
      <w:r>
        <w:rPr>
          <w:rFonts w:hint="eastAsia" w:ascii="仿宋" w:hAnsi="仿宋" w:eastAsia="仿宋"/>
          <w:kern w:val="0"/>
          <w:sz w:val="28"/>
          <w:szCs w:val="28"/>
        </w:rPr>
        <w:t xml:space="preserve"> </w:t>
      </w:r>
    </w:p>
    <w:p>
      <w:pPr>
        <w:widowControl/>
        <w:ind w:firstLine="4760"/>
        <w:rPr>
          <w:rFonts w:hint="eastAsia" w:ascii="仿宋" w:hAnsi="仿宋" w:eastAsia="仿宋"/>
          <w:kern w:val="0"/>
          <w:sz w:val="28"/>
          <w:szCs w:val="28"/>
        </w:rPr>
      </w:pPr>
      <w:r>
        <w:rPr>
          <w:rFonts w:hint="eastAsia" w:ascii="仿宋" w:hAnsi="仿宋" w:eastAsia="仿宋"/>
          <w:kern w:val="0"/>
          <w:sz w:val="28"/>
          <w:szCs w:val="28"/>
        </w:rPr>
        <w:t xml:space="preserve">         年    月    日</w:t>
      </w:r>
    </w:p>
    <w:p>
      <w:pPr>
        <w:widowControl/>
        <w:rPr>
          <w:rFonts w:hint="eastAsia" w:ascii="仿宋_GB2312" w:eastAsia="仿宋_GB2312"/>
          <w:sz w:val="32"/>
          <w:szCs w:val="32"/>
        </w:rPr>
      </w:pPr>
      <w:r>
        <w:rPr>
          <w:kern w:val="0"/>
          <w:szCs w:val="21"/>
        </w:rPr>
        <w:t xml:space="preserve"> </w:t>
      </w:r>
    </w:p>
    <w:sectPr>
      <w:headerReference r:id="rId5" w:type="first"/>
      <w:headerReference r:id="rId3" w:type="default"/>
      <w:footerReference r:id="rId6" w:type="default"/>
      <w:headerReference r:id="rId4" w:type="even"/>
      <w:footerReference r:id="rId7" w:type="even"/>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6EF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6">
    <w:name w:val="Normal Table"/>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3291</Words>
  <Characters>3439</Characters>
  <Lines>0</Lines>
  <Paragraphs>327</Paragraphs>
  <TotalTime>0</TotalTime>
  <ScaleCrop>false</ScaleCrop>
  <LinksUpToDate>false</LinksUpToDate>
  <CharactersWithSpaces>3489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2017-06-01T14:55:00Z</dcterms:created>
  <dc:creator>微软用户</dc:creator>
  <cp:lastModifiedBy>Administrator</cp:lastModifiedBy>
  <dcterms:modified xsi:type="dcterms:W3CDTF">2017-06-02T01:43:57Z</dcterms:modified>
  <dc:title>青岛市开展首期大中型商场超市放心肉菜公开评价工作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